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794FE8F6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100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44DF5">
        <w:rPr>
          <w:rFonts w:ascii="Arial" w:hAnsi="Arial" w:cs="Arial"/>
          <w:b/>
          <w:sz w:val="24"/>
          <w:szCs w:val="28"/>
          <w:lang w:val="en-US"/>
        </w:rPr>
        <w:t>1</w:t>
      </w:r>
      <w:r w:rsidR="007854DF">
        <w:rPr>
          <w:rFonts w:ascii="Arial" w:hAnsi="Arial" w:cs="Arial"/>
          <w:b/>
          <w:sz w:val="24"/>
          <w:szCs w:val="28"/>
          <w:lang w:val="en-US"/>
        </w:rPr>
        <w:t>1</w:t>
      </w:r>
      <w:r w:rsidR="00241AFB">
        <w:rPr>
          <w:rFonts w:ascii="Arial" w:hAnsi="Arial" w:cs="Arial"/>
          <w:b/>
          <w:sz w:val="24"/>
          <w:szCs w:val="28"/>
          <w:lang w:val="en-US"/>
        </w:rPr>
        <w:t>4463</w:t>
      </w:r>
    </w:p>
    <w:p w14:paraId="60407F1B" w14:textId="78A4A9D5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3D4986">
        <w:rPr>
          <w:rFonts w:ascii="Arial" w:hAnsi="Arial" w:cs="Arial"/>
          <w:b/>
          <w:sz w:val="24"/>
          <w:szCs w:val="28"/>
          <w:lang w:val="en-US"/>
        </w:rPr>
        <w:t>1</w:t>
      </w:r>
      <w:r w:rsidR="0021151E">
        <w:rPr>
          <w:rFonts w:ascii="Arial" w:hAnsi="Arial" w:cs="Arial"/>
          <w:b/>
          <w:sz w:val="24"/>
          <w:szCs w:val="28"/>
          <w:lang w:val="en-US"/>
        </w:rPr>
        <w:t>6</w:t>
      </w:r>
      <w:r w:rsidR="00D00FAE">
        <w:rPr>
          <w:rFonts w:ascii="Arial" w:hAnsi="Arial" w:cs="Arial"/>
          <w:b/>
          <w:sz w:val="24"/>
          <w:szCs w:val="28"/>
          <w:lang w:val="en-US"/>
        </w:rPr>
        <w:t xml:space="preserve">-27 </w:t>
      </w:r>
      <w:r w:rsidR="0021151E">
        <w:rPr>
          <w:rFonts w:ascii="Arial" w:hAnsi="Arial" w:cs="Arial"/>
          <w:b/>
          <w:sz w:val="24"/>
          <w:szCs w:val="28"/>
          <w:lang w:val="en-US"/>
        </w:rPr>
        <w:t>August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 xml:space="preserve">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7B583D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2CE9A8A8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0266FE">
        <w:rPr>
          <w:rFonts w:ascii="Arial" w:hAnsi="Arial" w:cs="Arial"/>
          <w:bCs/>
          <w:sz w:val="22"/>
          <w:szCs w:val="22"/>
          <w:lang w:val="en-US"/>
        </w:rPr>
        <w:t>9.17.3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7326DAA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D15829" w:rsidRPr="00D15829">
        <w:rPr>
          <w:rFonts w:ascii="Arial" w:hAnsi="Arial" w:cs="Arial"/>
          <w:sz w:val="22"/>
          <w:szCs w:val="22"/>
        </w:rPr>
        <w:t>Analysis of RRM requirements for enhanced IAB</w:t>
      </w:r>
    </w:p>
    <w:p w14:paraId="37EAE97F" w14:textId="3778AEC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2381305" w14:textId="11FFBFD7" w:rsidR="005C076B" w:rsidRDefault="00791C6F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</w:t>
      </w:r>
      <w:r w:rsidR="00A84D49">
        <w:rPr>
          <w:sz w:val="22"/>
          <w:szCs w:val="22"/>
          <w:lang w:val="en-US"/>
        </w:rPr>
        <w:t xml:space="preserve">RAN4 </w:t>
      </w:r>
      <w:r>
        <w:rPr>
          <w:sz w:val="22"/>
          <w:szCs w:val="22"/>
          <w:lang w:val="en-US"/>
        </w:rPr>
        <w:t>meeting a WF on RRM requirements for IAB enhancement was approved</w:t>
      </w:r>
      <w:r w:rsidR="00A84D49">
        <w:rPr>
          <w:sz w:val="22"/>
          <w:szCs w:val="22"/>
          <w:lang w:val="en-US"/>
        </w:rPr>
        <w:t xml:space="preserve"> [1]. </w:t>
      </w:r>
    </w:p>
    <w:p w14:paraId="4BC9507D" w14:textId="7898A123" w:rsidR="007639E1" w:rsidRPr="003860F6" w:rsidRDefault="0065006A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analyze </w:t>
      </w:r>
      <w:r w:rsidR="00183017">
        <w:rPr>
          <w:sz w:val="22"/>
          <w:szCs w:val="22"/>
          <w:lang w:val="en-US"/>
        </w:rPr>
        <w:t xml:space="preserve">the </w:t>
      </w:r>
      <w:r w:rsidR="00791C6F">
        <w:rPr>
          <w:sz w:val="22"/>
          <w:szCs w:val="22"/>
          <w:lang w:val="en-US"/>
        </w:rPr>
        <w:t>open issues identified in the WF for further analysis</w:t>
      </w:r>
      <w:r w:rsidR="00183017">
        <w:rPr>
          <w:sz w:val="22"/>
          <w:szCs w:val="22"/>
          <w:lang w:val="en-US"/>
        </w:rPr>
        <w:t xml:space="preserve">. </w:t>
      </w:r>
    </w:p>
    <w:p w14:paraId="7BFE3390" w14:textId="254306F8" w:rsidR="00B663AD" w:rsidRDefault="00A11545" w:rsidP="00B663A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of </w:t>
      </w:r>
      <w:r w:rsidR="00210715">
        <w:t>simultaneous IAB operation on RRM</w:t>
      </w:r>
    </w:p>
    <w:p w14:paraId="0A5E879D" w14:textId="3ACA7EC9" w:rsidR="00AB208F" w:rsidRDefault="00AB208F" w:rsidP="00BE4F23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following </w:t>
      </w:r>
      <w:r w:rsidR="00E43D4E">
        <w:rPr>
          <w:sz w:val="22"/>
          <w:szCs w:val="22"/>
        </w:rPr>
        <w:t xml:space="preserve">related to the </w:t>
      </w:r>
      <w:r w:rsidR="00E43D4E" w:rsidRPr="00E43D4E">
        <w:rPr>
          <w:sz w:val="22"/>
          <w:szCs w:val="22"/>
        </w:rPr>
        <w:t xml:space="preserve">simultaneous IAB operation </w:t>
      </w:r>
      <w:r>
        <w:rPr>
          <w:sz w:val="22"/>
          <w:szCs w:val="22"/>
        </w:rPr>
        <w:t>was agreed in the last RAN4 WF [1]:</w:t>
      </w:r>
    </w:p>
    <w:p w14:paraId="01944410" w14:textId="745AF008" w:rsidR="00AB208F" w:rsidRPr="00AB208F" w:rsidRDefault="00AB208F" w:rsidP="00AB208F">
      <w:pPr>
        <w:pStyle w:val="ListParagraph"/>
        <w:numPr>
          <w:ilvl w:val="0"/>
          <w:numId w:val="36"/>
        </w:numPr>
        <w:pBdr>
          <w:top w:val="single" w:sz="4" w:space="1" w:color="auto"/>
          <w:bottom w:val="single" w:sz="4" w:space="1" w:color="auto"/>
        </w:pBdr>
        <w:spacing w:before="240"/>
        <w:rPr>
          <w:i/>
          <w:iCs/>
          <w:sz w:val="20"/>
        </w:rPr>
      </w:pPr>
      <w:r w:rsidRPr="00AB208F">
        <w:rPr>
          <w:i/>
          <w:iCs/>
          <w:sz w:val="20"/>
        </w:rPr>
        <w:t>RAN4 to further investigate the RRM impact of simultaneous operation and interference management with more RAN1 inputs.</w:t>
      </w:r>
    </w:p>
    <w:p w14:paraId="1A71EDD5" w14:textId="51FA4CBB" w:rsidR="00210715" w:rsidRPr="00E43D4E" w:rsidRDefault="003C672C" w:rsidP="00BE4F23">
      <w:pPr>
        <w:spacing w:before="240" w:after="0"/>
        <w:rPr>
          <w:sz w:val="22"/>
          <w:szCs w:val="22"/>
        </w:rPr>
      </w:pPr>
      <w:r w:rsidRPr="00E43D4E">
        <w:rPr>
          <w:sz w:val="22"/>
          <w:szCs w:val="22"/>
        </w:rPr>
        <w:t xml:space="preserve">The </w:t>
      </w:r>
      <w:r w:rsidR="001B5D47" w:rsidRPr="00E43D4E">
        <w:rPr>
          <w:sz w:val="22"/>
          <w:szCs w:val="22"/>
        </w:rPr>
        <w:t>simultaneous operation of the IAB in RAN1 and RAN4 RF group will have the following different capabilities:</w:t>
      </w:r>
    </w:p>
    <w:p w14:paraId="2EF701CD" w14:textId="41309968" w:rsidR="001B5D47" w:rsidRPr="00E43D4E" w:rsidRDefault="00210DAC" w:rsidP="00370C2C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ascii="Times New Roman" w:hAnsi="Times New Roman"/>
          <w:szCs w:val="22"/>
        </w:rPr>
      </w:pPr>
      <w:bookmarkStart w:id="3" w:name="_Hlk78980053"/>
      <w:r w:rsidRPr="00E43D4E">
        <w:rPr>
          <w:rFonts w:ascii="Times New Roman" w:hAnsi="Times New Roman"/>
          <w:szCs w:val="22"/>
        </w:rPr>
        <w:t xml:space="preserve">Simultaneous operation </w:t>
      </w:r>
      <w:bookmarkEnd w:id="3"/>
      <w:r w:rsidRPr="00E43D4E">
        <w:rPr>
          <w:rFonts w:ascii="Times New Roman" w:hAnsi="Times New Roman"/>
          <w:szCs w:val="22"/>
        </w:rPr>
        <w:t>of IAB-</w:t>
      </w:r>
      <w:r w:rsidR="003C672C" w:rsidRPr="00E43D4E">
        <w:rPr>
          <w:rFonts w:ascii="Times New Roman" w:hAnsi="Times New Roman"/>
          <w:szCs w:val="22"/>
        </w:rPr>
        <w:t>MT</w:t>
      </w:r>
      <w:r w:rsidRPr="00E43D4E">
        <w:rPr>
          <w:rFonts w:ascii="Times New Roman" w:hAnsi="Times New Roman"/>
          <w:szCs w:val="22"/>
        </w:rPr>
        <w:t xml:space="preserve"> TX and </w:t>
      </w:r>
      <w:r w:rsidR="003C672C" w:rsidRPr="00E43D4E">
        <w:rPr>
          <w:rFonts w:ascii="Times New Roman" w:hAnsi="Times New Roman"/>
          <w:szCs w:val="22"/>
        </w:rPr>
        <w:t xml:space="preserve">DU RX </w:t>
      </w:r>
      <w:r w:rsidRPr="00E43D4E">
        <w:rPr>
          <w:rFonts w:ascii="Times New Roman" w:hAnsi="Times New Roman"/>
          <w:szCs w:val="22"/>
        </w:rPr>
        <w:t>in the same resource.</w:t>
      </w:r>
    </w:p>
    <w:p w14:paraId="0079FBDC" w14:textId="607BD2F5" w:rsidR="00210DAC" w:rsidRPr="00E43D4E" w:rsidRDefault="00210DAC" w:rsidP="00370C2C">
      <w:pPr>
        <w:pStyle w:val="ListParagraph"/>
        <w:numPr>
          <w:ilvl w:val="0"/>
          <w:numId w:val="37"/>
        </w:numPr>
        <w:contextualSpacing w:val="0"/>
        <w:rPr>
          <w:rFonts w:ascii="Times New Roman" w:hAnsi="Times New Roman"/>
          <w:szCs w:val="22"/>
        </w:rPr>
      </w:pPr>
      <w:r w:rsidRPr="00E43D4E">
        <w:rPr>
          <w:rFonts w:ascii="Times New Roman" w:hAnsi="Times New Roman"/>
          <w:szCs w:val="22"/>
        </w:rPr>
        <w:t xml:space="preserve">Simultaneous operation of IAB-MT RX and DU </w:t>
      </w:r>
      <w:r w:rsidR="00396117" w:rsidRPr="00E43D4E">
        <w:rPr>
          <w:rFonts w:ascii="Times New Roman" w:hAnsi="Times New Roman"/>
          <w:szCs w:val="22"/>
        </w:rPr>
        <w:t>T</w:t>
      </w:r>
      <w:r w:rsidRPr="00E43D4E">
        <w:rPr>
          <w:rFonts w:ascii="Times New Roman" w:hAnsi="Times New Roman"/>
          <w:szCs w:val="22"/>
        </w:rPr>
        <w:t>X in the same resource.</w:t>
      </w:r>
    </w:p>
    <w:p w14:paraId="762DBDED" w14:textId="1B29332E" w:rsidR="003071B1" w:rsidRPr="00E43D4E" w:rsidRDefault="00AD2D5B" w:rsidP="00E43D4E">
      <w:pPr>
        <w:spacing w:before="240" w:after="0"/>
        <w:rPr>
          <w:sz w:val="22"/>
          <w:szCs w:val="22"/>
        </w:rPr>
      </w:pPr>
      <w:r w:rsidRPr="00E43D4E">
        <w:rPr>
          <w:sz w:val="22"/>
          <w:szCs w:val="22"/>
        </w:rPr>
        <w:t>T</w:t>
      </w:r>
      <w:r w:rsidR="003071B1" w:rsidRPr="00E43D4E">
        <w:rPr>
          <w:sz w:val="22"/>
          <w:szCs w:val="22"/>
        </w:rPr>
        <w:t xml:space="preserve">he simultaneous operation between IAB-MT and DU in the above scenarios </w:t>
      </w:r>
      <w:r w:rsidRPr="00E43D4E">
        <w:rPr>
          <w:sz w:val="22"/>
          <w:szCs w:val="22"/>
        </w:rPr>
        <w:t xml:space="preserve">can be realized by ensuring sufficient isolation </w:t>
      </w:r>
      <w:r w:rsidR="00370C2C" w:rsidRPr="00E43D4E">
        <w:rPr>
          <w:sz w:val="22"/>
          <w:szCs w:val="22"/>
        </w:rPr>
        <w:t xml:space="preserve">between IAB-MT and DU transceivers </w:t>
      </w:r>
      <w:r w:rsidR="00B05D73">
        <w:rPr>
          <w:sz w:val="22"/>
          <w:szCs w:val="22"/>
        </w:rPr>
        <w:t xml:space="preserve">[2] </w:t>
      </w:r>
      <w:r w:rsidRPr="00E43D4E">
        <w:rPr>
          <w:sz w:val="22"/>
          <w:szCs w:val="22"/>
        </w:rPr>
        <w:t>(</w:t>
      </w:r>
      <w:r w:rsidR="00370C2C" w:rsidRPr="00E43D4E">
        <w:rPr>
          <w:sz w:val="22"/>
          <w:szCs w:val="22"/>
        </w:rPr>
        <w:t xml:space="preserve">i.e. </w:t>
      </w:r>
      <w:r w:rsidRPr="00E43D4E">
        <w:rPr>
          <w:sz w:val="22"/>
          <w:szCs w:val="22"/>
        </w:rPr>
        <w:t>between IAB-MT TX and DU RX</w:t>
      </w:r>
      <w:r w:rsidR="00EC5278" w:rsidRPr="00E43D4E">
        <w:rPr>
          <w:sz w:val="22"/>
          <w:szCs w:val="22"/>
        </w:rPr>
        <w:t xml:space="preserve"> for case 1; </w:t>
      </w:r>
      <w:r w:rsidR="00370C2C" w:rsidRPr="00E43D4E">
        <w:rPr>
          <w:sz w:val="22"/>
          <w:szCs w:val="22"/>
        </w:rPr>
        <w:t xml:space="preserve">and between IAB-MT </w:t>
      </w:r>
      <w:r w:rsidR="00EC5278" w:rsidRPr="00E43D4E">
        <w:rPr>
          <w:sz w:val="22"/>
          <w:szCs w:val="22"/>
        </w:rPr>
        <w:t>R</w:t>
      </w:r>
      <w:r w:rsidR="00370C2C" w:rsidRPr="00E43D4E">
        <w:rPr>
          <w:sz w:val="22"/>
          <w:szCs w:val="22"/>
        </w:rPr>
        <w:t xml:space="preserve">X and DU </w:t>
      </w:r>
      <w:r w:rsidR="00EC5278" w:rsidRPr="00E43D4E">
        <w:rPr>
          <w:sz w:val="22"/>
          <w:szCs w:val="22"/>
        </w:rPr>
        <w:t>T</w:t>
      </w:r>
      <w:r w:rsidR="00370C2C" w:rsidRPr="00E43D4E">
        <w:rPr>
          <w:sz w:val="22"/>
          <w:szCs w:val="22"/>
        </w:rPr>
        <w:t>X</w:t>
      </w:r>
      <w:r w:rsidR="00EC5278" w:rsidRPr="00E43D4E">
        <w:rPr>
          <w:sz w:val="22"/>
          <w:szCs w:val="22"/>
        </w:rPr>
        <w:t xml:space="preserve"> in case 2 above).</w:t>
      </w:r>
      <w:r w:rsidR="000769F5" w:rsidRPr="00E43D4E">
        <w:rPr>
          <w:sz w:val="22"/>
          <w:szCs w:val="22"/>
        </w:rPr>
        <w:t xml:space="preserve"> The </w:t>
      </w:r>
      <w:r w:rsidR="00037C03" w:rsidRPr="00E43D4E">
        <w:rPr>
          <w:sz w:val="22"/>
          <w:szCs w:val="22"/>
        </w:rPr>
        <w:t xml:space="preserve">isolation should ensure there is practically no RF impact across </w:t>
      </w:r>
      <w:r w:rsidR="007E170D" w:rsidRPr="00E43D4E">
        <w:rPr>
          <w:sz w:val="22"/>
          <w:szCs w:val="22"/>
        </w:rPr>
        <w:t xml:space="preserve">IAB-MT and DU transceivers due to simultaneous operation. This may require an RF architecture different than the legacy half duplex IAB operation in Rel-16. </w:t>
      </w:r>
      <w:r w:rsidR="00A972EF" w:rsidRPr="00E43D4E">
        <w:rPr>
          <w:sz w:val="22"/>
          <w:szCs w:val="22"/>
        </w:rPr>
        <w:t>From RRM requirements perspective the IAB</w:t>
      </w:r>
      <w:r w:rsidR="00791AC6" w:rsidRPr="00E43D4E">
        <w:rPr>
          <w:sz w:val="22"/>
          <w:szCs w:val="22"/>
        </w:rPr>
        <w:t xml:space="preserve">-MT and DU are logical entity and therefore we do not foresee any </w:t>
      </w:r>
      <w:r w:rsidR="006F36A9" w:rsidRPr="00E43D4E">
        <w:rPr>
          <w:sz w:val="22"/>
          <w:szCs w:val="22"/>
        </w:rPr>
        <w:t xml:space="preserve">impact of RF architecture of IAB-MT and DU on </w:t>
      </w:r>
      <w:r w:rsidR="00791AC6" w:rsidRPr="00E43D4E">
        <w:rPr>
          <w:sz w:val="22"/>
          <w:szCs w:val="22"/>
        </w:rPr>
        <w:t xml:space="preserve">RRM </w:t>
      </w:r>
      <w:r w:rsidR="006F36A9" w:rsidRPr="00E43D4E">
        <w:rPr>
          <w:sz w:val="22"/>
          <w:szCs w:val="22"/>
        </w:rPr>
        <w:t>requirements. However</w:t>
      </w:r>
      <w:r w:rsidR="00EE0862" w:rsidRPr="00E43D4E">
        <w:rPr>
          <w:sz w:val="22"/>
          <w:szCs w:val="22"/>
        </w:rPr>
        <w:t>, the final conclusion on RRM impact can be drawn after the RF group has completed its investigation on the simultaneous operation between IAB-MT and DU</w:t>
      </w:r>
      <w:r w:rsidR="00F8641E">
        <w:rPr>
          <w:sz w:val="22"/>
          <w:szCs w:val="22"/>
        </w:rPr>
        <w:t>.</w:t>
      </w:r>
    </w:p>
    <w:p w14:paraId="4470A718" w14:textId="281B4740" w:rsidR="00B56FB8" w:rsidRPr="00E43D4E" w:rsidRDefault="00EE0862" w:rsidP="00E43D4E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Impact of </w:t>
      </w:r>
      <w:r w:rsidR="00185CE6">
        <w:t xml:space="preserve">Case 6 timing on </w:t>
      </w:r>
      <w:r w:rsidR="00644CF8">
        <w:t>IAB-MT timing error</w:t>
      </w:r>
    </w:p>
    <w:p w14:paraId="4C38B7BA" w14:textId="181B0140" w:rsidR="00E43D4E" w:rsidRDefault="00E43D4E" w:rsidP="00E43D4E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following related to </w:t>
      </w:r>
      <w:r w:rsidR="00F8641E">
        <w:rPr>
          <w:sz w:val="22"/>
          <w:szCs w:val="22"/>
        </w:rPr>
        <w:t>case 6</w:t>
      </w:r>
      <w:r w:rsidRPr="00E43D4E">
        <w:rPr>
          <w:sz w:val="22"/>
          <w:szCs w:val="22"/>
        </w:rPr>
        <w:t xml:space="preserve"> </w:t>
      </w:r>
      <w:r>
        <w:rPr>
          <w:sz w:val="22"/>
          <w:szCs w:val="22"/>
        </w:rPr>
        <w:t>was agreed in the last RAN4 WF [1]:</w:t>
      </w:r>
    </w:p>
    <w:p w14:paraId="77589CD0" w14:textId="37174A55" w:rsidR="00F8641E" w:rsidRPr="00F8641E" w:rsidRDefault="00F8641E" w:rsidP="00F8641E">
      <w:pPr>
        <w:pBdr>
          <w:top w:val="single" w:sz="4" w:space="1" w:color="auto"/>
          <w:bottom w:val="single" w:sz="4" w:space="1" w:color="auto"/>
        </w:pBdr>
        <w:overflowPunct w:val="0"/>
        <w:autoSpaceDE w:val="0"/>
        <w:autoSpaceDN w:val="0"/>
        <w:adjustRightInd w:val="0"/>
        <w:spacing w:before="240" w:after="0" w:line="259" w:lineRule="auto"/>
        <w:textAlignment w:val="baseline"/>
        <w:rPr>
          <w:rFonts w:ascii="Arial" w:hAnsi="Arial" w:cs="Arial"/>
          <w:bCs/>
          <w:i/>
          <w:iCs/>
          <w:lang w:eastAsia="zh-CN"/>
        </w:rPr>
      </w:pPr>
      <w:r w:rsidRPr="00F8641E">
        <w:rPr>
          <w:rFonts w:ascii="Arial" w:hAnsi="Arial" w:cs="Arial"/>
          <w:bCs/>
          <w:i/>
          <w:iCs/>
          <w:lang w:eastAsia="zh-CN"/>
        </w:rPr>
        <w:t>RAN4 investigate if new transmission error requirement would be needed for case 6 timing enabling based on RAN1 agreements and also based on agreements in the RF session.</w:t>
      </w:r>
    </w:p>
    <w:p w14:paraId="5F8A0115" w14:textId="59CF93F3" w:rsidR="00F8641E" w:rsidRDefault="00F8641E" w:rsidP="00EE0862">
      <w:pPr>
        <w:overflowPunct w:val="0"/>
        <w:autoSpaceDE w:val="0"/>
        <w:autoSpaceDN w:val="0"/>
        <w:adjustRightInd w:val="0"/>
        <w:spacing w:before="120" w:after="0" w:line="259" w:lineRule="auto"/>
        <w:textAlignment w:val="baseline"/>
        <w:rPr>
          <w:bCs/>
          <w:sz w:val="22"/>
          <w:szCs w:val="22"/>
          <w:lang w:eastAsia="zh-CN"/>
        </w:rPr>
      </w:pPr>
    </w:p>
    <w:p w14:paraId="0B6BA9FF" w14:textId="1DB23CEA" w:rsidR="00051C42" w:rsidRDefault="000415C0" w:rsidP="0092312E">
      <w:p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bCs/>
          <w:sz w:val="22"/>
          <w:szCs w:val="22"/>
          <w:lang w:eastAsia="zh-CN"/>
        </w:rPr>
      </w:pPr>
      <w:r w:rsidRPr="000415C0">
        <w:rPr>
          <w:bCs/>
          <w:sz w:val="22"/>
          <w:szCs w:val="22"/>
          <w:lang w:eastAsia="zh-CN"/>
        </w:rPr>
        <w:t>The Case</w:t>
      </w:r>
      <w:r>
        <w:rPr>
          <w:bCs/>
          <w:sz w:val="22"/>
          <w:szCs w:val="22"/>
          <w:lang w:eastAsia="zh-CN"/>
        </w:rPr>
        <w:t xml:space="preserve"> </w:t>
      </w:r>
      <w:r w:rsidRPr="000415C0">
        <w:rPr>
          <w:bCs/>
          <w:sz w:val="22"/>
          <w:szCs w:val="22"/>
          <w:lang w:eastAsia="zh-CN"/>
        </w:rPr>
        <w:t>#</w:t>
      </w:r>
      <w:r>
        <w:rPr>
          <w:bCs/>
          <w:sz w:val="22"/>
          <w:szCs w:val="22"/>
          <w:lang w:eastAsia="zh-CN"/>
        </w:rPr>
        <w:t xml:space="preserve"> </w:t>
      </w:r>
      <w:r w:rsidRPr="000415C0">
        <w:rPr>
          <w:bCs/>
          <w:sz w:val="22"/>
          <w:szCs w:val="22"/>
          <w:lang w:eastAsia="zh-CN"/>
        </w:rPr>
        <w:t xml:space="preserve">6 timing configuration is related to the simultaneous transmission by IAB-MT and IAB-DU </w:t>
      </w:r>
      <w:r w:rsidR="008777DB">
        <w:rPr>
          <w:bCs/>
          <w:sz w:val="22"/>
          <w:szCs w:val="22"/>
          <w:lang w:eastAsia="zh-CN"/>
        </w:rPr>
        <w:t xml:space="preserve">transmitters </w:t>
      </w:r>
      <w:r w:rsidRPr="000415C0">
        <w:rPr>
          <w:bCs/>
          <w:sz w:val="22"/>
          <w:szCs w:val="22"/>
          <w:lang w:eastAsia="zh-CN"/>
        </w:rPr>
        <w:t>in the same IAB</w:t>
      </w:r>
      <w:r w:rsidR="00EA34A7">
        <w:rPr>
          <w:bCs/>
          <w:sz w:val="22"/>
          <w:szCs w:val="22"/>
          <w:lang w:eastAsia="zh-CN"/>
        </w:rPr>
        <w:t xml:space="preserve"> </w:t>
      </w:r>
      <w:r w:rsidRPr="000415C0">
        <w:rPr>
          <w:bCs/>
          <w:sz w:val="22"/>
          <w:szCs w:val="22"/>
          <w:lang w:eastAsia="zh-CN"/>
        </w:rPr>
        <w:t>node</w:t>
      </w:r>
      <w:r>
        <w:rPr>
          <w:bCs/>
          <w:sz w:val="22"/>
          <w:szCs w:val="22"/>
          <w:lang w:eastAsia="zh-CN"/>
        </w:rPr>
        <w:t xml:space="preserve">. </w:t>
      </w:r>
      <w:r w:rsidR="008777DB">
        <w:rPr>
          <w:bCs/>
          <w:sz w:val="22"/>
          <w:szCs w:val="22"/>
          <w:lang w:eastAsia="zh-CN"/>
        </w:rPr>
        <w:t>On the other hand c</w:t>
      </w:r>
      <w:r w:rsidR="008777DB" w:rsidRPr="008777DB">
        <w:rPr>
          <w:bCs/>
          <w:sz w:val="22"/>
          <w:szCs w:val="22"/>
          <w:lang w:eastAsia="zh-CN"/>
        </w:rPr>
        <w:t>ase#7 timing configuration is related to the simultaneous reception by IAB-MT and IAB-DU receiver</w:t>
      </w:r>
      <w:r w:rsidR="008777DB">
        <w:rPr>
          <w:bCs/>
          <w:sz w:val="22"/>
          <w:szCs w:val="22"/>
          <w:lang w:eastAsia="zh-CN"/>
        </w:rPr>
        <w:t>s</w:t>
      </w:r>
      <w:r w:rsidR="008777DB" w:rsidRPr="008777DB">
        <w:rPr>
          <w:bCs/>
          <w:sz w:val="22"/>
          <w:szCs w:val="22"/>
          <w:lang w:eastAsia="zh-CN"/>
        </w:rPr>
        <w:t xml:space="preserve"> in the same IAB node</w:t>
      </w:r>
      <w:r w:rsidR="008777DB">
        <w:rPr>
          <w:bCs/>
          <w:sz w:val="22"/>
          <w:szCs w:val="22"/>
          <w:lang w:eastAsia="zh-CN"/>
        </w:rPr>
        <w:t xml:space="preserve">. </w:t>
      </w:r>
    </w:p>
    <w:p w14:paraId="5A5E7DE1" w14:textId="760FFBB3" w:rsidR="009554CF" w:rsidRDefault="009554CF" w:rsidP="0092312E">
      <w:p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bCs/>
          <w:sz w:val="22"/>
          <w:szCs w:val="22"/>
          <w:lang w:eastAsia="zh-CN"/>
        </w:rPr>
      </w:pPr>
    </w:p>
    <w:p w14:paraId="5D2B066E" w14:textId="7CE40F8F" w:rsidR="00BB16BD" w:rsidRDefault="009554CF" w:rsidP="0092312E">
      <w:p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There can be diffe</w:t>
      </w:r>
      <w:r w:rsidR="00EA34A7">
        <w:rPr>
          <w:bCs/>
          <w:sz w:val="22"/>
          <w:szCs w:val="22"/>
          <w:lang w:eastAsia="zh-CN"/>
        </w:rPr>
        <w:t xml:space="preserve">rent architectural options for implementing </w:t>
      </w:r>
      <w:r w:rsidRPr="009554CF">
        <w:rPr>
          <w:bCs/>
          <w:sz w:val="22"/>
          <w:szCs w:val="22"/>
          <w:lang w:eastAsia="zh-CN"/>
        </w:rPr>
        <w:t>IAB-MT and IAB-DU</w:t>
      </w:r>
      <w:r w:rsidR="00EA34A7">
        <w:rPr>
          <w:bCs/>
          <w:sz w:val="22"/>
          <w:szCs w:val="22"/>
          <w:lang w:eastAsia="zh-CN"/>
        </w:rPr>
        <w:t xml:space="preserve"> within an IAB </w:t>
      </w:r>
      <w:proofErr w:type="spellStart"/>
      <w:r w:rsidR="00EA34A7">
        <w:rPr>
          <w:bCs/>
          <w:sz w:val="22"/>
          <w:szCs w:val="22"/>
          <w:lang w:eastAsia="zh-CN"/>
        </w:rPr>
        <w:t>node</w:t>
      </w:r>
      <w:r w:rsidR="00B05D73">
        <w:rPr>
          <w:bCs/>
          <w:sz w:val="22"/>
          <w:szCs w:val="22"/>
          <w:lang w:eastAsia="zh-CN"/>
        </w:rPr>
        <w:t>as</w:t>
      </w:r>
      <w:proofErr w:type="spellEnd"/>
      <w:r w:rsidR="00B05D73">
        <w:rPr>
          <w:bCs/>
          <w:sz w:val="22"/>
          <w:szCs w:val="22"/>
          <w:lang w:eastAsia="zh-CN"/>
        </w:rPr>
        <w:t xml:space="preserve"> discussed in RF group [3]</w:t>
      </w:r>
      <w:r w:rsidR="00EA34A7">
        <w:rPr>
          <w:bCs/>
          <w:sz w:val="22"/>
          <w:szCs w:val="22"/>
          <w:lang w:eastAsia="zh-CN"/>
        </w:rPr>
        <w:t xml:space="preserve">. In one example the </w:t>
      </w:r>
      <w:r w:rsidR="00EA34A7" w:rsidRPr="009554CF">
        <w:rPr>
          <w:bCs/>
          <w:sz w:val="22"/>
          <w:szCs w:val="22"/>
          <w:lang w:eastAsia="zh-CN"/>
        </w:rPr>
        <w:t>IAB-MT and IAB-DU</w:t>
      </w:r>
      <w:r w:rsidR="00EA34A7">
        <w:rPr>
          <w:bCs/>
          <w:sz w:val="22"/>
          <w:szCs w:val="22"/>
          <w:lang w:eastAsia="zh-CN"/>
        </w:rPr>
        <w:t xml:space="preserve"> are implementing using different hardware. </w:t>
      </w:r>
      <w:r w:rsidR="0057034B">
        <w:rPr>
          <w:bCs/>
          <w:sz w:val="22"/>
          <w:szCs w:val="22"/>
          <w:lang w:eastAsia="zh-CN"/>
        </w:rPr>
        <w:t>In this case the IAB-MT is synchronized to its parent IAB-DU</w:t>
      </w:r>
      <w:r w:rsidR="00E60F48">
        <w:rPr>
          <w:bCs/>
          <w:sz w:val="22"/>
          <w:szCs w:val="22"/>
          <w:lang w:eastAsia="zh-CN"/>
        </w:rPr>
        <w:t>, while the child IAB-DU can be synchronized to common sync source e.g. GNSS. The child IAB-DU and parent IAB-DU (parent of IAB-</w:t>
      </w:r>
      <w:r w:rsidR="00E60F48">
        <w:rPr>
          <w:bCs/>
          <w:sz w:val="22"/>
          <w:szCs w:val="22"/>
          <w:lang w:eastAsia="zh-CN"/>
        </w:rPr>
        <w:lastRenderedPageBreak/>
        <w:t>MT) are time aligned within time alignment error (± 3 µ).</w:t>
      </w:r>
      <w:r w:rsidR="008316BF">
        <w:rPr>
          <w:bCs/>
          <w:sz w:val="22"/>
          <w:szCs w:val="22"/>
          <w:lang w:eastAsia="zh-CN"/>
        </w:rPr>
        <w:t xml:space="preserve"> Therefore, </w:t>
      </w:r>
      <w:r w:rsidR="008316BF" w:rsidRPr="009554CF">
        <w:rPr>
          <w:bCs/>
          <w:sz w:val="22"/>
          <w:szCs w:val="22"/>
          <w:lang w:eastAsia="zh-CN"/>
        </w:rPr>
        <w:t>IAB-MT and IAB-DU</w:t>
      </w:r>
      <w:r w:rsidR="008316BF">
        <w:rPr>
          <w:bCs/>
          <w:sz w:val="22"/>
          <w:szCs w:val="22"/>
          <w:lang w:eastAsia="zh-CN"/>
        </w:rPr>
        <w:t xml:space="preserve"> </w:t>
      </w:r>
      <w:r w:rsidR="001E4B60">
        <w:rPr>
          <w:bCs/>
          <w:sz w:val="22"/>
          <w:szCs w:val="22"/>
          <w:lang w:eastAsia="zh-CN"/>
        </w:rPr>
        <w:t xml:space="preserve">do not have the same timing. </w:t>
      </w:r>
    </w:p>
    <w:p w14:paraId="5E37EF7F" w14:textId="25BB759D" w:rsidR="009554CF" w:rsidRPr="00E43D4E" w:rsidRDefault="009F537A" w:rsidP="00E60F48">
      <w:pPr>
        <w:overflowPunct w:val="0"/>
        <w:autoSpaceDE w:val="0"/>
        <w:autoSpaceDN w:val="0"/>
        <w:adjustRightInd w:val="0"/>
        <w:spacing w:before="120" w:after="0" w:line="259" w:lineRule="auto"/>
        <w:textAlignment w:val="baseline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 xml:space="preserve">In another example the </w:t>
      </w:r>
      <w:r w:rsidRPr="009554CF">
        <w:rPr>
          <w:bCs/>
          <w:sz w:val="22"/>
          <w:szCs w:val="22"/>
          <w:lang w:eastAsia="zh-CN"/>
        </w:rPr>
        <w:t>IAB-MT and IAB-DU</w:t>
      </w:r>
      <w:r>
        <w:rPr>
          <w:bCs/>
          <w:sz w:val="22"/>
          <w:szCs w:val="22"/>
          <w:lang w:eastAsia="zh-CN"/>
        </w:rPr>
        <w:t xml:space="preserve"> are implementing with shared hardware</w:t>
      </w:r>
      <w:r w:rsidR="00FA4FE5">
        <w:rPr>
          <w:bCs/>
          <w:sz w:val="22"/>
          <w:szCs w:val="22"/>
          <w:lang w:eastAsia="zh-CN"/>
        </w:rPr>
        <w:t xml:space="preserve">. </w:t>
      </w:r>
      <w:r w:rsidR="0057034B">
        <w:rPr>
          <w:bCs/>
          <w:sz w:val="22"/>
          <w:szCs w:val="22"/>
          <w:lang w:eastAsia="zh-CN"/>
        </w:rPr>
        <w:t>In this case both IAB-MT and IAB-DU (in the same IAB node) have the same or similar timing</w:t>
      </w:r>
      <w:r w:rsidR="0076334F">
        <w:rPr>
          <w:bCs/>
          <w:sz w:val="22"/>
          <w:szCs w:val="22"/>
          <w:lang w:eastAsia="zh-CN"/>
        </w:rPr>
        <w:t xml:space="preserve">. The child </w:t>
      </w:r>
      <w:r w:rsidR="00C56B91">
        <w:rPr>
          <w:bCs/>
          <w:sz w:val="22"/>
          <w:szCs w:val="22"/>
          <w:lang w:eastAsia="zh-CN"/>
        </w:rPr>
        <w:t xml:space="preserve">IAB-DU and </w:t>
      </w:r>
      <w:r w:rsidR="00196CCD">
        <w:rPr>
          <w:bCs/>
          <w:sz w:val="22"/>
          <w:szCs w:val="22"/>
          <w:lang w:eastAsia="zh-CN"/>
        </w:rPr>
        <w:t xml:space="preserve">parent IAB-DU (parent of IAB-MT) are time aligned </w:t>
      </w:r>
      <w:r w:rsidR="003E1F7B">
        <w:rPr>
          <w:bCs/>
          <w:sz w:val="22"/>
          <w:szCs w:val="22"/>
          <w:lang w:eastAsia="zh-CN"/>
        </w:rPr>
        <w:t xml:space="preserve">within time alignment error (± 3 µ). Since IAB-MT and IAB-DU have the same timing, therefore the </w:t>
      </w:r>
      <w:r w:rsidR="0057034B">
        <w:rPr>
          <w:bCs/>
          <w:sz w:val="22"/>
          <w:szCs w:val="22"/>
          <w:lang w:eastAsia="zh-CN"/>
        </w:rPr>
        <w:t>parent IAB-DU</w:t>
      </w:r>
      <w:r w:rsidR="003E1F7B">
        <w:rPr>
          <w:bCs/>
          <w:sz w:val="22"/>
          <w:szCs w:val="22"/>
          <w:lang w:eastAsia="zh-CN"/>
        </w:rPr>
        <w:t xml:space="preserve"> needs to be aware of the IAB-MT transmission timing</w:t>
      </w:r>
      <w:r w:rsidR="0057034B">
        <w:rPr>
          <w:bCs/>
          <w:sz w:val="22"/>
          <w:szCs w:val="22"/>
          <w:lang w:eastAsia="zh-CN"/>
        </w:rPr>
        <w:t>.</w:t>
      </w:r>
      <w:r w:rsidR="003E1F7B">
        <w:rPr>
          <w:bCs/>
          <w:sz w:val="22"/>
          <w:szCs w:val="22"/>
          <w:lang w:eastAsia="zh-CN"/>
        </w:rPr>
        <w:t xml:space="preserve"> To enable </w:t>
      </w:r>
      <w:r w:rsidR="00780556">
        <w:rPr>
          <w:bCs/>
          <w:sz w:val="22"/>
          <w:szCs w:val="22"/>
          <w:lang w:eastAsia="zh-CN"/>
        </w:rPr>
        <w:t>Case # 6 timing in this scenario, RAN1 is discussing</w:t>
      </w:r>
      <w:r w:rsidR="00B52697">
        <w:rPr>
          <w:bCs/>
          <w:sz w:val="22"/>
          <w:szCs w:val="22"/>
          <w:lang w:eastAsia="zh-CN"/>
        </w:rPr>
        <w:t xml:space="preserve"> different solutions including </w:t>
      </w:r>
      <w:proofErr w:type="spellStart"/>
      <w:r w:rsidR="00B52697">
        <w:rPr>
          <w:bCs/>
          <w:sz w:val="22"/>
          <w:szCs w:val="22"/>
          <w:lang w:eastAsia="zh-CN"/>
        </w:rPr>
        <w:t>signaling</w:t>
      </w:r>
      <w:proofErr w:type="spellEnd"/>
      <w:r w:rsidR="00B52697">
        <w:rPr>
          <w:bCs/>
          <w:sz w:val="22"/>
          <w:szCs w:val="22"/>
          <w:lang w:eastAsia="zh-CN"/>
        </w:rPr>
        <w:t xml:space="preserve"> and non-</w:t>
      </w:r>
      <w:proofErr w:type="spellStart"/>
      <w:r w:rsidR="00B52697">
        <w:rPr>
          <w:bCs/>
          <w:sz w:val="22"/>
          <w:szCs w:val="22"/>
          <w:lang w:eastAsia="zh-CN"/>
        </w:rPr>
        <w:t>signaling</w:t>
      </w:r>
      <w:proofErr w:type="spellEnd"/>
      <w:r w:rsidR="00B52697">
        <w:rPr>
          <w:bCs/>
          <w:sz w:val="22"/>
          <w:szCs w:val="22"/>
          <w:lang w:eastAsia="zh-CN"/>
        </w:rPr>
        <w:t xml:space="preserve"> based. RF group is also discussing the RF architectural aspects and </w:t>
      </w:r>
      <w:r w:rsidR="003B2850">
        <w:rPr>
          <w:bCs/>
          <w:sz w:val="22"/>
          <w:szCs w:val="22"/>
          <w:lang w:eastAsia="zh-CN"/>
        </w:rPr>
        <w:t xml:space="preserve">impact on RF requirements for different options of implementing IAB-MT and IAB-DU in the same IAB node. </w:t>
      </w:r>
      <w:r w:rsidR="0051325E">
        <w:rPr>
          <w:bCs/>
          <w:sz w:val="22"/>
          <w:szCs w:val="22"/>
          <w:lang w:eastAsia="zh-CN"/>
        </w:rPr>
        <w:t xml:space="preserve">RRM group should wait for further agreements in RAN1 and RF group before concluding the impact on RRM.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23F132DC" w14:textId="07DA919D" w:rsidR="001C1D0D" w:rsidRDefault="00D53884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AD4DAC">
        <w:rPr>
          <w:sz w:val="22"/>
          <w:szCs w:val="22"/>
          <w:lang w:val="en-US"/>
        </w:rPr>
        <w:t>The following are the observations and proposals based on the analysis provided in this paper</w:t>
      </w:r>
      <w:r w:rsidR="001C1D0D" w:rsidRPr="00AD4DAC">
        <w:rPr>
          <w:sz w:val="22"/>
          <w:szCs w:val="22"/>
        </w:rPr>
        <w:t>:</w:t>
      </w:r>
    </w:p>
    <w:p w14:paraId="47D598DE" w14:textId="558469EB" w:rsidR="00DE6850" w:rsidRPr="00DE6850" w:rsidRDefault="00DE6850" w:rsidP="00DE685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sz w:val="22"/>
          <w:szCs w:val="22"/>
          <w:u w:val="single"/>
        </w:rPr>
      </w:pPr>
      <w:r w:rsidRPr="00DE6850">
        <w:rPr>
          <w:b/>
          <w:bCs/>
          <w:sz w:val="22"/>
          <w:szCs w:val="22"/>
          <w:u w:val="single"/>
        </w:rPr>
        <w:t>Simultaneous IAB operation</w:t>
      </w:r>
      <w:r>
        <w:rPr>
          <w:b/>
          <w:bCs/>
          <w:sz w:val="22"/>
          <w:szCs w:val="22"/>
          <w:u w:val="single"/>
        </w:rPr>
        <w:t>:</w:t>
      </w:r>
    </w:p>
    <w:p w14:paraId="4036EF1A" w14:textId="4F46B1AB" w:rsidR="00970431" w:rsidRPr="004B161A" w:rsidRDefault="00D53884" w:rsidP="00B5701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Observation 1</w:t>
      </w:r>
      <w:r w:rsidR="00164909" w:rsidRPr="004B161A">
        <w:rPr>
          <w:rFonts w:ascii="Times New Roman" w:hAnsi="Times New Roman"/>
          <w:sz w:val="20"/>
        </w:rPr>
        <w:t xml:space="preserve">: </w:t>
      </w:r>
      <w:r w:rsidR="005B2922" w:rsidRPr="004B161A">
        <w:rPr>
          <w:rFonts w:ascii="Times New Roman" w:hAnsi="Times New Roman"/>
          <w:sz w:val="20"/>
        </w:rPr>
        <w:t>S</w:t>
      </w:r>
      <w:r w:rsidR="00164909" w:rsidRPr="004B161A">
        <w:rPr>
          <w:rFonts w:ascii="Times New Roman" w:hAnsi="Times New Roman"/>
          <w:sz w:val="20"/>
        </w:rPr>
        <w:t xml:space="preserve">imultaneous operation between </w:t>
      </w:r>
      <w:r w:rsidR="00BD44F9" w:rsidRPr="004B161A">
        <w:rPr>
          <w:rFonts w:ascii="Times New Roman" w:hAnsi="Times New Roman"/>
          <w:sz w:val="20"/>
        </w:rPr>
        <w:t xml:space="preserve">IAB-MT TX and DU RX or </w:t>
      </w:r>
      <w:r w:rsidR="00AD4DAC" w:rsidRPr="004B161A">
        <w:rPr>
          <w:rFonts w:ascii="Times New Roman" w:hAnsi="Times New Roman"/>
          <w:sz w:val="20"/>
        </w:rPr>
        <w:t xml:space="preserve">between </w:t>
      </w:r>
      <w:r w:rsidR="00BD44F9" w:rsidRPr="004B161A">
        <w:rPr>
          <w:rFonts w:ascii="Times New Roman" w:hAnsi="Times New Roman"/>
          <w:sz w:val="20"/>
        </w:rPr>
        <w:t>IAB-MT RX and DU TX</w:t>
      </w:r>
      <w:r w:rsidR="00AD4DAC" w:rsidRPr="004B161A">
        <w:rPr>
          <w:rFonts w:ascii="Times New Roman" w:hAnsi="Times New Roman"/>
          <w:sz w:val="20"/>
        </w:rPr>
        <w:t xml:space="preserve"> </w:t>
      </w:r>
      <w:r w:rsidR="005B2922" w:rsidRPr="004B161A">
        <w:rPr>
          <w:rFonts w:ascii="Times New Roman" w:hAnsi="Times New Roman"/>
          <w:sz w:val="20"/>
        </w:rPr>
        <w:t xml:space="preserve">may </w:t>
      </w:r>
      <w:r w:rsidR="00164909" w:rsidRPr="004B161A">
        <w:rPr>
          <w:rFonts w:ascii="Times New Roman" w:hAnsi="Times New Roman"/>
          <w:sz w:val="20"/>
        </w:rPr>
        <w:t xml:space="preserve">be realized by </w:t>
      </w:r>
      <w:r w:rsidR="00AC65D8" w:rsidRPr="004B161A">
        <w:rPr>
          <w:rFonts w:ascii="Times New Roman" w:hAnsi="Times New Roman"/>
          <w:sz w:val="20"/>
        </w:rPr>
        <w:t>e</w:t>
      </w:r>
      <w:r w:rsidR="00164909" w:rsidRPr="004B161A">
        <w:rPr>
          <w:rFonts w:ascii="Times New Roman" w:hAnsi="Times New Roman"/>
          <w:sz w:val="20"/>
        </w:rPr>
        <w:t>nsur</w:t>
      </w:r>
      <w:r w:rsidR="00E92126" w:rsidRPr="004B161A">
        <w:rPr>
          <w:rFonts w:ascii="Times New Roman" w:hAnsi="Times New Roman"/>
          <w:sz w:val="20"/>
        </w:rPr>
        <w:t xml:space="preserve">ing </w:t>
      </w:r>
      <w:r w:rsidR="00164909" w:rsidRPr="004B161A">
        <w:rPr>
          <w:rFonts w:ascii="Times New Roman" w:hAnsi="Times New Roman"/>
          <w:sz w:val="20"/>
        </w:rPr>
        <w:t>sufficient isolation between IAB-MT and DU transceivers</w:t>
      </w:r>
      <w:r w:rsidR="00AC65D8" w:rsidRPr="004B161A">
        <w:rPr>
          <w:rFonts w:ascii="Times New Roman" w:hAnsi="Times New Roman"/>
          <w:sz w:val="20"/>
        </w:rPr>
        <w:t xml:space="preserve"> to avoid </w:t>
      </w:r>
      <w:r w:rsidR="00E41045" w:rsidRPr="004B161A">
        <w:rPr>
          <w:rFonts w:ascii="Times New Roman" w:hAnsi="Times New Roman"/>
          <w:sz w:val="20"/>
        </w:rPr>
        <w:t xml:space="preserve">any </w:t>
      </w:r>
      <w:r w:rsidR="00AC65D8" w:rsidRPr="004B161A">
        <w:rPr>
          <w:rFonts w:ascii="Times New Roman" w:hAnsi="Times New Roman"/>
          <w:sz w:val="20"/>
        </w:rPr>
        <w:t>RF</w:t>
      </w:r>
      <w:r w:rsidR="00E41045" w:rsidRPr="004B161A">
        <w:rPr>
          <w:rFonts w:ascii="Times New Roman" w:hAnsi="Times New Roman"/>
          <w:sz w:val="20"/>
        </w:rPr>
        <w:t xml:space="preserve"> impact</w:t>
      </w:r>
      <w:r w:rsidR="00AC65D8" w:rsidRPr="004B161A">
        <w:rPr>
          <w:rFonts w:ascii="Times New Roman" w:hAnsi="Times New Roman"/>
          <w:sz w:val="20"/>
        </w:rPr>
        <w:t>/interference</w:t>
      </w:r>
      <w:r w:rsidR="00E92126" w:rsidRPr="004B161A">
        <w:rPr>
          <w:rFonts w:ascii="Times New Roman" w:hAnsi="Times New Roman"/>
          <w:sz w:val="20"/>
        </w:rPr>
        <w:t xml:space="preserve"> across IAB-MT and DU transceivers</w:t>
      </w:r>
      <w:r w:rsidR="00AC65D8" w:rsidRPr="004B161A">
        <w:rPr>
          <w:rFonts w:ascii="Times New Roman" w:hAnsi="Times New Roman"/>
          <w:sz w:val="20"/>
        </w:rPr>
        <w:t>.</w:t>
      </w:r>
    </w:p>
    <w:p w14:paraId="69DD43A1" w14:textId="4A784676" w:rsidR="00AC65D8" w:rsidRPr="004B161A" w:rsidRDefault="00AC65D8" w:rsidP="00AC65D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Observation 2</w:t>
      </w:r>
      <w:r w:rsidRPr="004B161A">
        <w:rPr>
          <w:rFonts w:ascii="Times New Roman" w:hAnsi="Times New Roman"/>
          <w:sz w:val="20"/>
        </w:rPr>
        <w:t xml:space="preserve">: From RRM requirements perspective IAB-MT and DU are logical entity independent of the RF </w:t>
      </w:r>
      <w:proofErr w:type="spellStart"/>
      <w:r w:rsidRPr="004B161A">
        <w:rPr>
          <w:rFonts w:ascii="Times New Roman" w:hAnsi="Times New Roman"/>
          <w:sz w:val="20"/>
        </w:rPr>
        <w:t>archicture</w:t>
      </w:r>
      <w:proofErr w:type="spellEnd"/>
      <w:r w:rsidR="002F4FE7" w:rsidRPr="004B161A">
        <w:rPr>
          <w:rFonts w:ascii="Times New Roman" w:hAnsi="Times New Roman"/>
          <w:sz w:val="20"/>
        </w:rPr>
        <w:t>/deployment scenario</w:t>
      </w:r>
      <w:r w:rsidRPr="004B161A">
        <w:rPr>
          <w:rFonts w:ascii="Times New Roman" w:hAnsi="Times New Roman"/>
          <w:sz w:val="20"/>
        </w:rPr>
        <w:t>.</w:t>
      </w:r>
    </w:p>
    <w:p w14:paraId="2D3E9843" w14:textId="6E2D37ED" w:rsidR="00767EE4" w:rsidRDefault="004376EF" w:rsidP="00B5701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Proposal #</w:t>
      </w:r>
      <w:r w:rsidR="00767EE4" w:rsidRPr="004B161A">
        <w:rPr>
          <w:rFonts w:ascii="Times New Roman" w:hAnsi="Times New Roman"/>
          <w:b/>
          <w:bCs/>
          <w:sz w:val="20"/>
        </w:rPr>
        <w:t>1</w:t>
      </w:r>
      <w:r w:rsidRPr="004B161A">
        <w:rPr>
          <w:rFonts w:ascii="Times New Roman" w:hAnsi="Times New Roman"/>
          <w:sz w:val="20"/>
        </w:rPr>
        <w:t>:</w:t>
      </w:r>
      <w:r w:rsidR="00767EE4" w:rsidRPr="004B161A">
        <w:rPr>
          <w:rFonts w:ascii="Times New Roman" w:hAnsi="Times New Roman"/>
          <w:sz w:val="20"/>
        </w:rPr>
        <w:t xml:space="preserve"> </w:t>
      </w:r>
      <w:r w:rsidR="002F4FE7" w:rsidRPr="004B161A">
        <w:rPr>
          <w:rFonts w:ascii="Times New Roman" w:hAnsi="Times New Roman"/>
          <w:sz w:val="20"/>
        </w:rPr>
        <w:t xml:space="preserve">Simultaneous operation between IAB-MT TX and DU RX or between IAB-MT RX and DU TX is not expected to impact RRM requirements </w:t>
      </w:r>
      <w:r w:rsidR="004B161A" w:rsidRPr="004B161A">
        <w:rPr>
          <w:rFonts w:ascii="Times New Roman" w:hAnsi="Times New Roman"/>
          <w:sz w:val="20"/>
        </w:rPr>
        <w:t xml:space="preserve">for IAB-MT or DU. </w:t>
      </w:r>
    </w:p>
    <w:p w14:paraId="57C76E37" w14:textId="7F75C0B4" w:rsidR="00DE6850" w:rsidRPr="00DE6850" w:rsidRDefault="00DE6850" w:rsidP="00DE685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Case # 6 timing</w:t>
      </w:r>
      <w:r w:rsidRPr="00DE6850">
        <w:rPr>
          <w:b/>
          <w:bCs/>
          <w:szCs w:val="22"/>
          <w:u w:val="single"/>
        </w:rPr>
        <w:t>:</w:t>
      </w:r>
    </w:p>
    <w:p w14:paraId="127B70C5" w14:textId="77777777" w:rsidR="006576A9" w:rsidRDefault="0051325E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 xml:space="preserve">Observation </w:t>
      </w:r>
      <w:r w:rsidR="00C904E4">
        <w:rPr>
          <w:rFonts w:ascii="Times New Roman" w:hAnsi="Times New Roman"/>
          <w:b/>
          <w:bCs/>
          <w:sz w:val="20"/>
        </w:rPr>
        <w:t>3</w:t>
      </w:r>
      <w:r w:rsidRPr="004B161A">
        <w:rPr>
          <w:rFonts w:ascii="Times New Roman" w:hAnsi="Times New Roman"/>
          <w:sz w:val="20"/>
        </w:rPr>
        <w:t xml:space="preserve">: </w:t>
      </w:r>
      <w:r w:rsidR="00C904E4" w:rsidRPr="00C904E4">
        <w:rPr>
          <w:rFonts w:ascii="Times New Roman" w:hAnsi="Times New Roman"/>
          <w:sz w:val="20"/>
        </w:rPr>
        <w:t>Case # 6 timing configuration is related to the simultaneous transmission by IAB-MT and IAB-DU transmitters in the same IAB node</w:t>
      </w:r>
      <w:r w:rsidR="00C904E4">
        <w:rPr>
          <w:rFonts w:ascii="Times New Roman" w:hAnsi="Times New Roman"/>
          <w:sz w:val="20"/>
        </w:rPr>
        <w:t xml:space="preserve"> with different implementation</w:t>
      </w:r>
      <w:r w:rsidR="006576A9">
        <w:rPr>
          <w:rFonts w:ascii="Times New Roman" w:hAnsi="Times New Roman"/>
          <w:sz w:val="20"/>
        </w:rPr>
        <w:t>.</w:t>
      </w:r>
    </w:p>
    <w:p w14:paraId="4A9DEE93" w14:textId="770146D6" w:rsidR="0051325E" w:rsidRPr="004B161A" w:rsidRDefault="006576A9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 xml:space="preserve">Observation </w:t>
      </w:r>
      <w:r>
        <w:rPr>
          <w:rFonts w:ascii="Times New Roman" w:hAnsi="Times New Roman"/>
          <w:b/>
          <w:bCs/>
          <w:sz w:val="20"/>
        </w:rPr>
        <w:t>4</w:t>
      </w:r>
      <w:r w:rsidRPr="004B161A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Realization of </w:t>
      </w:r>
      <w:r w:rsidRPr="00C904E4">
        <w:rPr>
          <w:rFonts w:ascii="Times New Roman" w:hAnsi="Times New Roman"/>
          <w:sz w:val="20"/>
        </w:rPr>
        <w:t xml:space="preserve">Case # 6 timing </w:t>
      </w:r>
      <w:r w:rsidR="00294775">
        <w:rPr>
          <w:rFonts w:ascii="Times New Roman" w:hAnsi="Times New Roman"/>
          <w:sz w:val="20"/>
        </w:rPr>
        <w:t xml:space="preserve">depends on IAB architectural options: </w:t>
      </w:r>
      <w:r w:rsidR="00C904E4" w:rsidRPr="004B161A">
        <w:rPr>
          <w:rFonts w:ascii="Times New Roman" w:hAnsi="Times New Roman"/>
          <w:sz w:val="20"/>
        </w:rPr>
        <w:t>IAB-MT and DU</w:t>
      </w:r>
      <w:r w:rsidR="00C904E4">
        <w:rPr>
          <w:rFonts w:ascii="Times New Roman" w:hAnsi="Times New Roman"/>
          <w:sz w:val="20"/>
        </w:rPr>
        <w:t xml:space="preserve"> with separate hardware and </w:t>
      </w:r>
      <w:r w:rsidR="00C904E4" w:rsidRPr="004B161A">
        <w:rPr>
          <w:rFonts w:ascii="Times New Roman" w:hAnsi="Times New Roman"/>
          <w:sz w:val="20"/>
        </w:rPr>
        <w:t xml:space="preserve">IAB-MT and </w:t>
      </w:r>
      <w:r w:rsidR="005A512F">
        <w:rPr>
          <w:rFonts w:ascii="Times New Roman" w:hAnsi="Times New Roman"/>
          <w:sz w:val="20"/>
        </w:rPr>
        <w:t>IAB-</w:t>
      </w:r>
      <w:r w:rsidR="00C904E4" w:rsidRPr="004B161A">
        <w:rPr>
          <w:rFonts w:ascii="Times New Roman" w:hAnsi="Times New Roman"/>
          <w:sz w:val="20"/>
        </w:rPr>
        <w:t>DU</w:t>
      </w:r>
      <w:r w:rsidR="00C904E4">
        <w:rPr>
          <w:rFonts w:ascii="Times New Roman" w:hAnsi="Times New Roman"/>
          <w:sz w:val="20"/>
        </w:rPr>
        <w:t xml:space="preserve"> sharing the same </w:t>
      </w:r>
      <w:r w:rsidR="00A32878">
        <w:rPr>
          <w:rFonts w:ascii="Times New Roman" w:hAnsi="Times New Roman"/>
          <w:sz w:val="20"/>
        </w:rPr>
        <w:t>hardware</w:t>
      </w:r>
      <w:r>
        <w:rPr>
          <w:rFonts w:ascii="Times New Roman" w:hAnsi="Times New Roman"/>
          <w:sz w:val="20"/>
        </w:rPr>
        <w:t>.</w:t>
      </w:r>
    </w:p>
    <w:p w14:paraId="27D66135" w14:textId="16542BCA" w:rsidR="0051325E" w:rsidRPr="004B161A" w:rsidRDefault="0051325E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 xml:space="preserve">Observation </w:t>
      </w:r>
      <w:r w:rsidR="00294775">
        <w:rPr>
          <w:rFonts w:ascii="Times New Roman" w:hAnsi="Times New Roman"/>
          <w:b/>
          <w:bCs/>
          <w:sz w:val="20"/>
        </w:rPr>
        <w:t>5</w:t>
      </w:r>
      <w:r w:rsidRPr="004B161A">
        <w:rPr>
          <w:rFonts w:ascii="Times New Roman" w:hAnsi="Times New Roman"/>
          <w:sz w:val="20"/>
        </w:rPr>
        <w:t xml:space="preserve">: </w:t>
      </w:r>
      <w:r w:rsidR="00A32878" w:rsidRPr="004B161A">
        <w:rPr>
          <w:rFonts w:ascii="Times New Roman" w:hAnsi="Times New Roman"/>
          <w:sz w:val="20"/>
        </w:rPr>
        <w:t xml:space="preserve">IAB-MT and </w:t>
      </w:r>
      <w:r w:rsidR="005A512F">
        <w:rPr>
          <w:rFonts w:ascii="Times New Roman" w:hAnsi="Times New Roman"/>
          <w:sz w:val="20"/>
        </w:rPr>
        <w:t>IAB-</w:t>
      </w:r>
      <w:r w:rsidR="00A32878" w:rsidRPr="004B161A">
        <w:rPr>
          <w:rFonts w:ascii="Times New Roman" w:hAnsi="Times New Roman"/>
          <w:sz w:val="20"/>
        </w:rPr>
        <w:t>DU</w:t>
      </w:r>
      <w:r w:rsidR="00A32878">
        <w:rPr>
          <w:rFonts w:ascii="Times New Roman" w:hAnsi="Times New Roman"/>
          <w:sz w:val="20"/>
        </w:rPr>
        <w:t xml:space="preserve"> sharing the same hardware</w:t>
      </w:r>
      <w:r w:rsidR="005A512F">
        <w:rPr>
          <w:rFonts w:ascii="Times New Roman" w:hAnsi="Times New Roman"/>
          <w:sz w:val="20"/>
        </w:rPr>
        <w:t xml:space="preserve"> have the same timing. </w:t>
      </w:r>
      <w:r w:rsidR="00B43A51">
        <w:rPr>
          <w:rFonts w:ascii="Times New Roman" w:hAnsi="Times New Roman"/>
          <w:sz w:val="20"/>
        </w:rPr>
        <w:t xml:space="preserve">Parent IAB-DU to which </w:t>
      </w:r>
      <w:r w:rsidR="00796D64">
        <w:rPr>
          <w:rFonts w:ascii="Times New Roman" w:hAnsi="Times New Roman"/>
          <w:sz w:val="20"/>
        </w:rPr>
        <w:t xml:space="preserve">child </w:t>
      </w:r>
      <w:r w:rsidR="00B43A51">
        <w:rPr>
          <w:rFonts w:ascii="Times New Roman" w:hAnsi="Times New Roman"/>
          <w:sz w:val="20"/>
        </w:rPr>
        <w:t>IAB-</w:t>
      </w:r>
      <w:r w:rsidR="00796D64">
        <w:rPr>
          <w:rFonts w:ascii="Times New Roman" w:hAnsi="Times New Roman"/>
          <w:sz w:val="20"/>
        </w:rPr>
        <w:t>DU</w:t>
      </w:r>
      <w:r w:rsidR="00B43A51">
        <w:rPr>
          <w:rFonts w:ascii="Times New Roman" w:hAnsi="Times New Roman"/>
          <w:sz w:val="20"/>
        </w:rPr>
        <w:t xml:space="preserve"> is </w:t>
      </w:r>
      <w:r w:rsidR="00796D64">
        <w:rPr>
          <w:rFonts w:ascii="Times New Roman" w:hAnsi="Times New Roman"/>
          <w:sz w:val="20"/>
        </w:rPr>
        <w:t xml:space="preserve">time aligned </w:t>
      </w:r>
      <w:r w:rsidR="009B6CE8">
        <w:rPr>
          <w:rFonts w:ascii="Times New Roman" w:hAnsi="Times New Roman"/>
          <w:sz w:val="20"/>
        </w:rPr>
        <w:t>(within ± 3µ)</w:t>
      </w:r>
      <w:r w:rsidR="00796D64">
        <w:rPr>
          <w:rFonts w:ascii="Times New Roman" w:hAnsi="Times New Roman"/>
          <w:sz w:val="20"/>
        </w:rPr>
        <w:t xml:space="preserve"> needs to be aware of the IAB-MT </w:t>
      </w:r>
      <w:r w:rsidR="009B6CE8">
        <w:rPr>
          <w:rFonts w:ascii="Times New Roman" w:hAnsi="Times New Roman"/>
          <w:sz w:val="20"/>
        </w:rPr>
        <w:t>transmission timing to receive its signals.</w:t>
      </w:r>
    </w:p>
    <w:p w14:paraId="2FA0E5D5" w14:textId="45EB3667" w:rsidR="0051325E" w:rsidRPr="0051325E" w:rsidRDefault="0051325E" w:rsidP="0051325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4B161A">
        <w:rPr>
          <w:rFonts w:ascii="Times New Roman" w:hAnsi="Times New Roman"/>
          <w:b/>
          <w:bCs/>
          <w:sz w:val="20"/>
        </w:rPr>
        <w:t>Proposal #</w:t>
      </w:r>
      <w:r w:rsidR="00C904E4">
        <w:rPr>
          <w:rFonts w:ascii="Times New Roman" w:hAnsi="Times New Roman"/>
          <w:b/>
          <w:bCs/>
          <w:sz w:val="20"/>
        </w:rPr>
        <w:t>2</w:t>
      </w:r>
      <w:r w:rsidRPr="004B161A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Further agreements and progress in RAN1 and in RF group are needed before concluding </w:t>
      </w:r>
      <w:r w:rsidR="00C904E4">
        <w:rPr>
          <w:rFonts w:ascii="Times New Roman" w:hAnsi="Times New Roman"/>
          <w:sz w:val="20"/>
        </w:rPr>
        <w:t>on the impact of Case # 6 timing on RRM requirements</w:t>
      </w:r>
      <w:r w:rsidRPr="004B161A">
        <w:rPr>
          <w:rFonts w:ascii="Times New Roman" w:hAnsi="Times New Roman"/>
          <w:sz w:val="20"/>
        </w:rPr>
        <w:t xml:space="preserve">. </w:t>
      </w:r>
    </w:p>
    <w:p w14:paraId="38A8F316" w14:textId="7A0D009A" w:rsidR="008306B4" w:rsidRPr="009B4A63" w:rsidRDefault="00583E33" w:rsidP="00590FF2">
      <w:pPr>
        <w:spacing w:before="240"/>
      </w:pPr>
      <w:r w:rsidRPr="00B5701F">
        <w:br w:type="page"/>
      </w:r>
    </w:p>
    <w:p w14:paraId="4F407A74" w14:textId="0EA81A66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lastRenderedPageBreak/>
        <w:t>References</w:t>
      </w:r>
    </w:p>
    <w:p w14:paraId="156F80C5" w14:textId="171FD271" w:rsidR="007C7F17" w:rsidRDefault="00590FF2" w:rsidP="00770B2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590FF2">
        <w:rPr>
          <w:rFonts w:ascii="Times New Roman" w:hAnsi="Times New Roman"/>
          <w:sz w:val="18"/>
          <w:szCs w:val="18"/>
          <w:lang w:val="en-GB"/>
        </w:rPr>
        <w:t>R4-2108355</w:t>
      </w:r>
      <w:r w:rsidR="007C7F17" w:rsidRPr="007C7F17">
        <w:rPr>
          <w:rFonts w:ascii="Times New Roman" w:hAnsi="Times New Roman"/>
          <w:sz w:val="18"/>
          <w:szCs w:val="18"/>
        </w:rPr>
        <w:t xml:space="preserve">, </w:t>
      </w:r>
      <w:r w:rsidRPr="00590FF2">
        <w:rPr>
          <w:rFonts w:ascii="Times New Roman" w:hAnsi="Times New Roman"/>
          <w:sz w:val="18"/>
          <w:szCs w:val="18"/>
          <w:lang w:val="en-GB"/>
        </w:rPr>
        <w:t xml:space="preserve">WF on </w:t>
      </w:r>
      <w:proofErr w:type="spellStart"/>
      <w:r w:rsidRPr="00590FF2">
        <w:rPr>
          <w:rFonts w:ascii="Times New Roman" w:hAnsi="Times New Roman"/>
          <w:sz w:val="18"/>
          <w:szCs w:val="18"/>
          <w:lang w:val="en-GB"/>
        </w:rPr>
        <w:t>eIAB</w:t>
      </w:r>
      <w:proofErr w:type="spellEnd"/>
      <w:r w:rsidRPr="00590FF2">
        <w:rPr>
          <w:rFonts w:ascii="Times New Roman" w:hAnsi="Times New Roman"/>
          <w:sz w:val="18"/>
          <w:szCs w:val="18"/>
          <w:lang w:val="en-GB"/>
        </w:rPr>
        <w:t xml:space="preserve"> RRM</w:t>
      </w:r>
      <w:r w:rsidR="007C7F17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ZTE</w:t>
      </w:r>
      <w:r w:rsidR="00DE6850">
        <w:rPr>
          <w:rFonts w:ascii="Times New Roman" w:hAnsi="Times New Roman"/>
          <w:sz w:val="18"/>
          <w:szCs w:val="18"/>
        </w:rPr>
        <w:t>.</w:t>
      </w:r>
    </w:p>
    <w:p w14:paraId="3AD904BB" w14:textId="066C687C" w:rsidR="00DE6850" w:rsidRDefault="00182FAA" w:rsidP="00770B2D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182FAA">
        <w:rPr>
          <w:rFonts w:ascii="Times New Roman" w:hAnsi="Times New Roman"/>
          <w:sz w:val="18"/>
          <w:szCs w:val="18"/>
        </w:rPr>
        <w:t>R4-2114329</w:t>
      </w:r>
      <w:r w:rsidR="00C04BE6">
        <w:rPr>
          <w:rFonts w:ascii="Times New Roman" w:hAnsi="Times New Roman"/>
          <w:sz w:val="18"/>
          <w:szCs w:val="18"/>
        </w:rPr>
        <w:t>,</w:t>
      </w:r>
      <w:r w:rsidR="00F10995">
        <w:rPr>
          <w:rFonts w:ascii="Times New Roman" w:hAnsi="Times New Roman"/>
          <w:sz w:val="18"/>
          <w:szCs w:val="18"/>
        </w:rPr>
        <w:t xml:space="preserve"> </w:t>
      </w:r>
      <w:r w:rsidR="00F16E89" w:rsidRPr="00F16E89">
        <w:rPr>
          <w:rFonts w:ascii="Times New Roman" w:hAnsi="Times New Roman"/>
          <w:sz w:val="18"/>
          <w:szCs w:val="18"/>
        </w:rPr>
        <w:t>RF impact analysis for Simultaneous operation of DU and MT</w:t>
      </w:r>
      <w:r w:rsidR="00F16E89">
        <w:rPr>
          <w:rFonts w:ascii="Times New Roman" w:hAnsi="Times New Roman"/>
          <w:sz w:val="18"/>
          <w:szCs w:val="18"/>
        </w:rPr>
        <w:t>,</w:t>
      </w:r>
      <w:r w:rsidR="00F10995">
        <w:rPr>
          <w:rFonts w:ascii="Times New Roman" w:hAnsi="Times New Roman"/>
          <w:sz w:val="18"/>
          <w:szCs w:val="18"/>
        </w:rPr>
        <w:t xml:space="preserve"> </w:t>
      </w:r>
      <w:r w:rsidR="00C04BE6">
        <w:rPr>
          <w:rFonts w:ascii="Times New Roman" w:hAnsi="Times New Roman"/>
          <w:sz w:val="18"/>
          <w:szCs w:val="18"/>
        </w:rPr>
        <w:t>Ericsson.</w:t>
      </w:r>
    </w:p>
    <w:p w14:paraId="65C38B71" w14:textId="7D7DC93E" w:rsidR="00C04BE6" w:rsidRDefault="00182FAA" w:rsidP="00C04BE6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182FAA">
        <w:rPr>
          <w:rFonts w:ascii="Times New Roman" w:hAnsi="Times New Roman"/>
          <w:sz w:val="18"/>
          <w:szCs w:val="18"/>
        </w:rPr>
        <w:t>R4-21143</w:t>
      </w:r>
      <w:r>
        <w:rPr>
          <w:rFonts w:ascii="Times New Roman" w:hAnsi="Times New Roman"/>
          <w:sz w:val="18"/>
          <w:szCs w:val="18"/>
        </w:rPr>
        <w:t>30</w:t>
      </w:r>
      <w:r w:rsidR="00C04BE6">
        <w:rPr>
          <w:rFonts w:ascii="Times New Roman" w:hAnsi="Times New Roman"/>
          <w:sz w:val="18"/>
          <w:szCs w:val="18"/>
        </w:rPr>
        <w:t xml:space="preserve">, </w:t>
      </w:r>
      <w:r w:rsidR="00C04BE6" w:rsidRPr="00C04BE6">
        <w:rPr>
          <w:rFonts w:ascii="Times New Roman" w:hAnsi="Times New Roman"/>
          <w:sz w:val="18"/>
          <w:szCs w:val="18"/>
        </w:rPr>
        <w:t>IAB MT /DU case 6/7 timing</w:t>
      </w:r>
      <w:r w:rsidR="00C04BE6">
        <w:rPr>
          <w:rFonts w:ascii="Times New Roman" w:hAnsi="Times New Roman"/>
          <w:sz w:val="18"/>
          <w:szCs w:val="18"/>
        </w:rPr>
        <w:t>, Ericsson.</w:t>
      </w:r>
    </w:p>
    <w:p w14:paraId="6D34CB60" w14:textId="2AE9F7FA" w:rsidR="00EB2DE7" w:rsidRPr="004928CA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</w:p>
    <w:bookmarkEnd w:id="1"/>
    <w:bookmarkEnd w:id="2"/>
    <w:p w14:paraId="6CDB067D" w14:textId="77777777" w:rsidR="00EB2DE7" w:rsidRPr="00EB2DE7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</w:p>
    <w:sectPr w:rsidR="00EB2DE7" w:rsidRPr="00EB2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B12AB" w14:textId="77777777" w:rsidR="00B70559" w:rsidRDefault="00B70559">
      <w:r>
        <w:separator/>
      </w:r>
    </w:p>
  </w:endnote>
  <w:endnote w:type="continuationSeparator" w:id="0">
    <w:p w14:paraId="7C9544B1" w14:textId="77777777" w:rsidR="00B70559" w:rsidRDefault="00B7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46B5F" w14:textId="77777777" w:rsidR="00B70559" w:rsidRDefault="00B70559">
      <w:r>
        <w:separator/>
      </w:r>
    </w:p>
  </w:footnote>
  <w:footnote w:type="continuationSeparator" w:id="0">
    <w:p w14:paraId="33FD3792" w14:textId="77777777" w:rsidR="00B70559" w:rsidRDefault="00B7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1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9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36"/>
  </w:num>
  <w:num w:numId="4">
    <w:abstractNumId w:val="2"/>
  </w:num>
  <w:num w:numId="5">
    <w:abstractNumId w:val="17"/>
  </w:num>
  <w:num w:numId="6">
    <w:abstractNumId w:val="35"/>
  </w:num>
  <w:num w:numId="7">
    <w:abstractNumId w:val="28"/>
  </w:num>
  <w:num w:numId="8">
    <w:abstractNumId w:val="24"/>
  </w:num>
  <w:num w:numId="9">
    <w:abstractNumId w:val="6"/>
  </w:num>
  <w:num w:numId="10">
    <w:abstractNumId w:val="15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26"/>
  </w:num>
  <w:num w:numId="17">
    <w:abstractNumId w:val="10"/>
  </w:num>
  <w:num w:numId="18">
    <w:abstractNumId w:val="34"/>
  </w:num>
  <w:num w:numId="19">
    <w:abstractNumId w:val="22"/>
  </w:num>
  <w:num w:numId="20">
    <w:abstractNumId w:val="20"/>
  </w:num>
  <w:num w:numId="21">
    <w:abstractNumId w:val="19"/>
  </w:num>
  <w:num w:numId="22">
    <w:abstractNumId w:val="23"/>
  </w:num>
  <w:num w:numId="23">
    <w:abstractNumId w:val="14"/>
  </w:num>
  <w:num w:numId="24">
    <w:abstractNumId w:val="30"/>
  </w:num>
  <w:num w:numId="25">
    <w:abstractNumId w:val="9"/>
  </w:num>
  <w:num w:numId="26">
    <w:abstractNumId w:val="25"/>
  </w:num>
  <w:num w:numId="27">
    <w:abstractNumId w:val="0"/>
  </w:num>
  <w:num w:numId="28">
    <w:abstractNumId w:val="31"/>
  </w:num>
  <w:num w:numId="29">
    <w:abstractNumId w:val="16"/>
  </w:num>
  <w:num w:numId="30">
    <w:abstractNumId w:val="18"/>
  </w:num>
  <w:num w:numId="31">
    <w:abstractNumId w:val="27"/>
  </w:num>
  <w:num w:numId="32">
    <w:abstractNumId w:val="21"/>
  </w:num>
  <w:num w:numId="33">
    <w:abstractNumId w:val="5"/>
  </w:num>
  <w:num w:numId="34">
    <w:abstractNumId w:val="1"/>
  </w:num>
  <w:num w:numId="35">
    <w:abstractNumId w:val="13"/>
  </w:num>
  <w:num w:numId="36">
    <w:abstractNumId w:val="29"/>
  </w:num>
  <w:num w:numId="37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C50"/>
    <w:rsid w:val="000E3C71"/>
    <w:rsid w:val="000E4521"/>
    <w:rsid w:val="000E57FF"/>
    <w:rsid w:val="000E67A9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F02BB"/>
    <w:rsid w:val="001F05B3"/>
    <w:rsid w:val="001F05E0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76D0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801B7"/>
    <w:rsid w:val="00380683"/>
    <w:rsid w:val="003807FC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3CCF"/>
    <w:rsid w:val="004F4AAA"/>
    <w:rsid w:val="004F5851"/>
    <w:rsid w:val="004F61F5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5A12"/>
    <w:rsid w:val="006663D5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14E1"/>
    <w:rsid w:val="00912803"/>
    <w:rsid w:val="0091390D"/>
    <w:rsid w:val="00915F9C"/>
    <w:rsid w:val="009161D4"/>
    <w:rsid w:val="00916583"/>
    <w:rsid w:val="009176E4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DB1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F6E"/>
    <w:rsid w:val="00F74533"/>
    <w:rsid w:val="00F75299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99BADC-2879-4F4A-81EC-894232E2D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855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76</cp:revision>
  <cp:lastPrinted>1899-12-31T23:00:00Z</cp:lastPrinted>
  <dcterms:created xsi:type="dcterms:W3CDTF">2021-08-04T12:22:00Z</dcterms:created>
  <dcterms:modified xsi:type="dcterms:W3CDTF">2021-08-06T20:38:00Z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